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1E3CB" w14:textId="77777777" w:rsidR="004D094C" w:rsidRPr="00D059E3" w:rsidRDefault="00000000" w:rsidP="00D059E3">
      <w:pPr>
        <w:rPr>
          <w:b/>
          <w:bCs/>
          <w:sz w:val="32"/>
          <w:szCs w:val="32"/>
        </w:rPr>
      </w:pPr>
      <w:r w:rsidRPr="00D059E3">
        <w:rPr>
          <w:b/>
          <w:bCs/>
          <w:sz w:val="32"/>
          <w:szCs w:val="32"/>
        </w:rPr>
        <w:br/>
        <w:t xml:space="preserve">Státní nemocenská často nestačí. Jak dlouhá neschopenka ohrožuje rodinný rozpočet? </w:t>
      </w:r>
    </w:p>
    <w:p w14:paraId="71CCBE28" w14:textId="6011E18B" w:rsidR="004D094C" w:rsidRPr="00D059E3" w:rsidRDefault="00000000" w:rsidP="00D059E3">
      <w:pPr>
        <w:rPr>
          <w:b/>
          <w:bCs/>
          <w:sz w:val="28"/>
          <w:szCs w:val="28"/>
        </w:rPr>
      </w:pPr>
      <w:r w:rsidRPr="00D059E3">
        <w:rPr>
          <w:b/>
          <w:bCs/>
        </w:rPr>
        <w:br/>
        <w:t xml:space="preserve">Praha, </w:t>
      </w:r>
      <w:r w:rsidR="00B76540">
        <w:rPr>
          <w:b/>
          <w:bCs/>
        </w:rPr>
        <w:t>9</w:t>
      </w:r>
      <w:r w:rsidRPr="00D059E3">
        <w:rPr>
          <w:b/>
          <w:bCs/>
        </w:rPr>
        <w:t>.</w:t>
      </w:r>
      <w:r w:rsidR="00930F56">
        <w:rPr>
          <w:b/>
          <w:bCs/>
        </w:rPr>
        <w:t xml:space="preserve"> </w:t>
      </w:r>
      <w:r w:rsidR="00E153DA">
        <w:rPr>
          <w:b/>
          <w:bCs/>
        </w:rPr>
        <w:t>září</w:t>
      </w:r>
      <w:r w:rsidRPr="00D059E3">
        <w:rPr>
          <w:b/>
          <w:bCs/>
        </w:rPr>
        <w:t xml:space="preserve"> 2026 – Průměrná pracovní neschopnost v Česku trvá přibližně jeden měsíc. U vážnějších diagnóz ale může léčba znamenat výpadek příjmů i půl roku a déle. Přesto mnoho lidí spoléhá pouze na státní nemocenské dávky, které zpravidla nepokryjí běžné měsíční výdaje domácnosti. Odborníci proto doporučují nepodceňovat pojištění pracovní neschopnosti. Současně upozorňují, že se trh v posledních letech výrazně proměnil – pojišťovny rozšiřují krytí, zmírňují některé výluky a zvyšují maximální limity plnění.</w:t>
      </w:r>
    </w:p>
    <w:p w14:paraId="56A7F572" w14:textId="77777777" w:rsidR="004D094C" w:rsidRPr="00D059E3" w:rsidRDefault="00000000" w:rsidP="00D059E3">
      <w:r w:rsidRPr="00D059E3">
        <w:rPr>
          <w:i/>
          <w:iCs/>
        </w:rPr>
        <w:t>„Lidé často řeší výši denní dávky, ale mnohem důležitější je, za jakých podmínek pojišťovna skutečně plní. Rozdíly mezi jednotlivými smlouvami jsou dnes výrazné – ať už se například týkají krytí psychických onemocnění, bolestí zad nebo délky karenční doby. Právě detaily rozhodují o tom, jestli klient při několikaměsíční pracovní neschopnosti dostane desítky nebo stovky tisíc korun,“</w:t>
      </w:r>
      <w:r w:rsidRPr="00D059E3">
        <w:t xml:space="preserve"> říká Petr Motáček, specialista životního pojištění.</w:t>
      </w:r>
    </w:p>
    <w:p w14:paraId="04800C6E" w14:textId="77777777" w:rsidR="004D094C" w:rsidRPr="00D059E3" w:rsidRDefault="00000000" w:rsidP="00D059E3">
      <w:pPr>
        <w:rPr>
          <w:b/>
          <w:bCs/>
        </w:rPr>
      </w:pPr>
      <w:r w:rsidRPr="00D059E3">
        <w:rPr>
          <w:b/>
          <w:bCs/>
        </w:rPr>
        <w:t>Kdy státní nemocenská přestává stačit?</w:t>
      </w:r>
    </w:p>
    <w:p w14:paraId="3F698EA9" w14:textId="77777777" w:rsidR="004D094C" w:rsidRPr="00D059E3" w:rsidRDefault="00000000" w:rsidP="00D059E3">
      <w:r w:rsidRPr="00D059E3">
        <w:t>To, zda nemocenské dávky pokryjí výpadek příjmů, závisí především na životní situaci. Člověk, který žije sám, má nízké pravidelné výdaje a vytvořenou finanční rezervu, zvládne krátkodobou pracovní neschopnost obvykle bez větších problémů. Jiná situace nastává u domácností, které splácejí hypotéku, živí děti nebo mají vyšší pravidelné náklady. Nájem, energie, školné, kroužky nebo splátky úvěrů totiž během nemoci neklesnou, zatímco příjem ano.</w:t>
      </w:r>
    </w:p>
    <w:p w14:paraId="4F92B3CC" w14:textId="77777777" w:rsidR="004D094C" w:rsidRPr="00D059E3" w:rsidRDefault="00000000" w:rsidP="00D059E3">
      <w:pPr>
        <w:rPr>
          <w:b/>
          <w:bCs/>
        </w:rPr>
      </w:pPr>
      <w:r w:rsidRPr="00D059E3">
        <w:rPr>
          <w:b/>
          <w:bCs/>
        </w:rPr>
        <w:t>Nejvíce ohrožené jsou čtyři skupiny lidí</w:t>
      </w:r>
    </w:p>
    <w:p w14:paraId="4A08811C" w14:textId="77777777" w:rsidR="004D094C" w:rsidRPr="00D059E3" w:rsidRDefault="00000000" w:rsidP="00D059E3">
      <w:r w:rsidRPr="00D059E3">
        <w:t>Podle odborníků by měli pojištění pracovní neschopnosti věnovat zvláštní pozornost zejména:</w:t>
      </w:r>
    </w:p>
    <w:p w14:paraId="434DED82" w14:textId="77777777" w:rsidR="004D094C" w:rsidRPr="00D059E3" w:rsidRDefault="00000000" w:rsidP="00D059E3">
      <w:pPr>
        <w:numPr>
          <w:ilvl w:val="0"/>
          <w:numId w:val="2"/>
        </w:numPr>
      </w:pPr>
      <w:r w:rsidRPr="00D059E3">
        <w:t xml:space="preserve">osoby samostatně výdělečně činné, které si často dobrovolné nemocenské pojištění vůbec neplatí a při pracovní neschopnosti tak nemají nárok na nemocenské dávky, </w:t>
      </w:r>
    </w:p>
    <w:p w14:paraId="1F9D6201" w14:textId="77777777" w:rsidR="004D094C" w:rsidRPr="00D059E3" w:rsidRDefault="00000000" w:rsidP="00D059E3">
      <w:pPr>
        <w:numPr>
          <w:ilvl w:val="0"/>
          <w:numId w:val="2"/>
        </w:numPr>
      </w:pPr>
      <w:r w:rsidRPr="00D059E3">
        <w:t xml:space="preserve">lidé s hypotékou nebo vyššími úvěry, u nichž může dlouhodobý výpadek příjmů ohrozit schopnost splácet závazky, </w:t>
      </w:r>
    </w:p>
    <w:p w14:paraId="73C588AB" w14:textId="77777777" w:rsidR="004D094C" w:rsidRPr="00D059E3" w:rsidRDefault="00000000" w:rsidP="00D059E3">
      <w:pPr>
        <w:numPr>
          <w:ilvl w:val="0"/>
          <w:numId w:val="2"/>
        </w:numPr>
      </w:pPr>
      <w:r w:rsidRPr="00D059E3">
        <w:t xml:space="preserve">hlavní živitelé rodin, jejichž příjem zajišťuje chod celé domácnosti, </w:t>
      </w:r>
    </w:p>
    <w:p w14:paraId="7C18ECD2" w14:textId="77777777" w:rsidR="004D094C" w:rsidRPr="00D059E3" w:rsidRDefault="00000000" w:rsidP="00D059E3">
      <w:pPr>
        <w:numPr>
          <w:ilvl w:val="0"/>
          <w:numId w:val="2"/>
        </w:numPr>
      </w:pPr>
      <w:r w:rsidRPr="00D059E3">
        <w:t xml:space="preserve">zaměstnanci s vyššími příjmy, kterým státní nemocenská nahradí pouze část běžného výdělku. </w:t>
      </w:r>
    </w:p>
    <w:p w14:paraId="63423949" w14:textId="77777777" w:rsidR="004D094C" w:rsidRPr="00D059E3" w:rsidRDefault="00000000" w:rsidP="00D059E3">
      <w:pPr>
        <w:rPr>
          <w:b/>
          <w:bCs/>
        </w:rPr>
      </w:pPr>
      <w:r w:rsidRPr="00D059E3">
        <w:rPr>
          <w:b/>
          <w:bCs/>
        </w:rPr>
        <w:lastRenderedPageBreak/>
        <w:br/>
        <w:t>Nejčastější příčinou dlouhodobé pracovní neschopnosti nejsou úrazy</w:t>
      </w:r>
    </w:p>
    <w:p w14:paraId="7E9C8F3D" w14:textId="77777777" w:rsidR="004D094C" w:rsidRPr="00D059E3" w:rsidRDefault="00000000" w:rsidP="00D059E3">
      <w:r w:rsidRPr="00D059E3">
        <w:t>Řada lidí si pracovní neschopnost spojuje především se zlomeninami nebo dopravními nehodami, prostě úrazy. Statistiky ale ukazují jiný obrázek. Mezi nejčastější příčiny dlouhodobých neschopenek patří:</w:t>
      </w:r>
    </w:p>
    <w:p w14:paraId="573022AD" w14:textId="77777777" w:rsidR="004D094C" w:rsidRPr="00D059E3" w:rsidRDefault="00000000" w:rsidP="00D059E3">
      <w:pPr>
        <w:numPr>
          <w:ilvl w:val="0"/>
          <w:numId w:val="3"/>
        </w:numPr>
      </w:pPr>
      <w:r w:rsidRPr="00D059E3">
        <w:t xml:space="preserve">onemocnění pohybového aparátu (bolesti zad, výhřez plotének nebo onemocnění kloubů), </w:t>
      </w:r>
    </w:p>
    <w:p w14:paraId="6CAF2914" w14:textId="77777777" w:rsidR="004D094C" w:rsidRPr="00D059E3" w:rsidRDefault="00000000" w:rsidP="00D059E3">
      <w:pPr>
        <w:numPr>
          <w:ilvl w:val="0"/>
          <w:numId w:val="3"/>
        </w:numPr>
      </w:pPr>
      <w:r w:rsidRPr="00D059E3">
        <w:t xml:space="preserve">rekonvalescence po operacích, </w:t>
      </w:r>
    </w:p>
    <w:p w14:paraId="16C7C321" w14:textId="77777777" w:rsidR="004D094C" w:rsidRPr="00D059E3" w:rsidRDefault="00000000" w:rsidP="00D059E3">
      <w:pPr>
        <w:numPr>
          <w:ilvl w:val="0"/>
          <w:numId w:val="3"/>
        </w:numPr>
      </w:pPr>
      <w:r w:rsidRPr="00D059E3">
        <w:t xml:space="preserve">onkologická onemocnění, </w:t>
      </w:r>
    </w:p>
    <w:p w14:paraId="08957AF8" w14:textId="77777777" w:rsidR="004D094C" w:rsidRPr="00D059E3" w:rsidRDefault="00000000" w:rsidP="00D059E3">
      <w:pPr>
        <w:numPr>
          <w:ilvl w:val="0"/>
          <w:numId w:val="3"/>
        </w:numPr>
      </w:pPr>
      <w:r w:rsidRPr="00D059E3">
        <w:t xml:space="preserve">nemoci srdce a cév včetně infarktu nebo cévní mozkové příhody. </w:t>
      </w:r>
    </w:p>
    <w:p w14:paraId="699B357D" w14:textId="77777777" w:rsidR="004D094C" w:rsidRPr="00D059E3" w:rsidRDefault="00000000" w:rsidP="00D059E3">
      <w:r w:rsidRPr="00D059E3">
        <w:t>Výrazně přibývá také pracovní neschopnosti způsobené duševními onemocněními, jako jsou deprese, úzkostné poruchy, syndrom vyhoření nebo dlouhodobý stres. Právě tato onemocnění dnes patří mezi nejčastější příčiny dlouhodobých neschopenek i přiznání invalidního důchodu.</w:t>
      </w:r>
    </w:p>
    <w:p w14:paraId="025FDB80" w14:textId="77777777" w:rsidR="004D094C" w:rsidRPr="00D059E3" w:rsidRDefault="00000000" w:rsidP="00D059E3">
      <w:pPr>
        <w:rPr>
          <w:b/>
          <w:bCs/>
        </w:rPr>
      </w:pPr>
      <w:r w:rsidRPr="00D059E3">
        <w:rPr>
          <w:b/>
          <w:bCs/>
        </w:rPr>
        <w:t>Měsíc je průměr. Některé diagnózy ale znamenají půl roku bez příjmů</w:t>
      </w:r>
    </w:p>
    <w:p w14:paraId="32745DDF" w14:textId="77777777" w:rsidR="004D094C" w:rsidRPr="00D059E3" w:rsidRDefault="00000000" w:rsidP="00D059E3">
      <w:r w:rsidRPr="00D059E3">
        <w:t>Přestože průměrná pracovní neschopnost v roce 2025 trvala 31,2 dne, u závažnějších diagnóz je situace výrazně odlišná.</w:t>
      </w:r>
    </w:p>
    <w:p w14:paraId="3541F979" w14:textId="77777777" w:rsidR="004D094C" w:rsidRPr="00D059E3" w:rsidRDefault="00000000" w:rsidP="00D059E3">
      <w:pPr>
        <w:numPr>
          <w:ilvl w:val="0"/>
          <w:numId w:val="4"/>
        </w:numPr>
      </w:pPr>
      <w:r w:rsidRPr="00D059E3">
        <w:t xml:space="preserve">onemocnění pohybového aparátu: 62 dní </w:t>
      </w:r>
    </w:p>
    <w:p w14:paraId="3F0C700C" w14:textId="77777777" w:rsidR="004D094C" w:rsidRPr="00D059E3" w:rsidRDefault="00000000" w:rsidP="00D059E3">
      <w:pPr>
        <w:numPr>
          <w:ilvl w:val="0"/>
          <w:numId w:val="4"/>
        </w:numPr>
      </w:pPr>
      <w:r w:rsidRPr="00D059E3">
        <w:t xml:space="preserve">duševní onemocnění: 80 dní </w:t>
      </w:r>
    </w:p>
    <w:p w14:paraId="5B335513" w14:textId="77777777" w:rsidR="004D094C" w:rsidRPr="00D059E3" w:rsidRDefault="00000000" w:rsidP="00D059E3">
      <w:pPr>
        <w:numPr>
          <w:ilvl w:val="0"/>
          <w:numId w:val="4"/>
        </w:numPr>
      </w:pPr>
      <w:r w:rsidRPr="00D059E3">
        <w:t xml:space="preserve">závažná onemocnění srdce: 105 dní </w:t>
      </w:r>
    </w:p>
    <w:p w14:paraId="5B539623" w14:textId="77777777" w:rsidR="004D094C" w:rsidRPr="00D059E3" w:rsidRDefault="00000000" w:rsidP="00D059E3">
      <w:pPr>
        <w:numPr>
          <w:ilvl w:val="0"/>
          <w:numId w:val="4"/>
        </w:numPr>
      </w:pPr>
      <w:r w:rsidRPr="00D059E3">
        <w:t xml:space="preserve">cévní mozková příhoda: 147 dní </w:t>
      </w:r>
    </w:p>
    <w:p w14:paraId="30B3AD8F" w14:textId="77777777" w:rsidR="004D094C" w:rsidRPr="00D059E3" w:rsidRDefault="00000000" w:rsidP="00D059E3">
      <w:pPr>
        <w:numPr>
          <w:ilvl w:val="0"/>
          <w:numId w:val="4"/>
        </w:numPr>
      </w:pPr>
      <w:r w:rsidRPr="00D059E3">
        <w:t xml:space="preserve">léčba zhoubných nádorů: 174 dní </w:t>
      </w:r>
    </w:p>
    <w:p w14:paraId="78160F8D" w14:textId="77777777" w:rsidR="004D094C" w:rsidRPr="00D059E3" w:rsidRDefault="00000000" w:rsidP="00D059E3">
      <w:r w:rsidRPr="00D059E3">
        <w:rPr>
          <w:i/>
          <w:iCs/>
        </w:rPr>
        <w:t>„Právě u několikaměsíčních pracovních neschopností se nejvíce ukazuje rozdíl mezi běžným příjmem a státní nemocenskou. Proto je důležité, aby si lidé při sjednávání pojištění nevšímali jen ceny, ale i rozsahu krytí a podmínek plnění,“</w:t>
      </w:r>
      <w:r w:rsidRPr="00D059E3">
        <w:t xml:space="preserve"> doplňuje Petr Motáček.</w:t>
      </w:r>
    </w:p>
    <w:p w14:paraId="015F94CE" w14:textId="77777777" w:rsidR="004D094C" w:rsidRPr="00D059E3" w:rsidRDefault="00000000" w:rsidP="00D059E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</w:pPr>
      <w:r w:rsidRPr="00D059E3">
        <w:t xml:space="preserve">Modelový příklad: Zaměstnanec s čistým příjmem 50 000 Kč měsíčně onemocní na čtyři měsíce po operaci páteře. Jen na rozdílu mezi běžným příjmem a nemocenskou může přijít o desítky tisíc korun. Pokud má sjednané pojištění pracovní neschopnosti s denní dávkou </w:t>
      </w:r>
      <w:r w:rsidRPr="00D059E3">
        <w:br/>
        <w:t>1 000 Kč od 29. dne, může získat přibližně 90 000 Kč, které pomohou pokrýt splátky hypotéky i běžné výdaje domácnosti.</w:t>
      </w:r>
    </w:p>
    <w:p w14:paraId="4ADC4A9F" w14:textId="77777777" w:rsidR="004D094C" w:rsidRPr="00D059E3" w:rsidRDefault="004D094C" w:rsidP="00D059E3">
      <w:pPr>
        <w:rPr>
          <w:b/>
          <w:bCs/>
        </w:rPr>
      </w:pPr>
    </w:p>
    <w:p w14:paraId="5F190D23" w14:textId="77777777" w:rsidR="00E153DA" w:rsidRDefault="00E153DA">
      <w:pPr>
        <w:spacing w:line="276" w:lineRule="auto"/>
        <w:rPr>
          <w:b/>
          <w:bCs/>
        </w:rPr>
      </w:pPr>
    </w:p>
    <w:p w14:paraId="4A14B751" w14:textId="1546FB08" w:rsidR="004D094C" w:rsidRDefault="00000000">
      <w:pPr>
        <w:spacing w:line="276" w:lineRule="auto"/>
      </w:pPr>
      <w:r>
        <w:rPr>
          <w:b/>
          <w:bCs/>
          <w:i/>
          <w:iCs/>
          <w:sz w:val="20"/>
          <w:szCs w:val="20"/>
        </w:rPr>
        <w:lastRenderedPageBreak/>
        <w:t>O společnosti FinGO:</w:t>
      </w:r>
    </w:p>
    <w:p w14:paraId="17C984DB" w14:textId="77777777" w:rsidR="004D094C" w:rsidRDefault="00000000">
      <w:pPr>
        <w:spacing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Digitální finančně-poradenská společnost FinGO.cz začala v České republice působit v roce 2021 s cílem přinést makléřům i klientům pohodlí, férovost a díky digitálním technologiím také příležitost, jak oslovit nové klienty. V současnosti má společnost přes 680 vázaných zástupců, kteří působí po celé České republice. Za dobu svého působení se řadí mezi nejrychleji rostoucí finančně poradenské společnosti v ČR. Významný podíl produkce FinGO.cz pochází z online příležitostí, které společnost sama vytváří pro své vázané zástupce.</w:t>
      </w:r>
    </w:p>
    <w:p w14:paraId="28FA84A6" w14:textId="77777777" w:rsidR="004D094C" w:rsidRDefault="00000000">
      <w:pPr>
        <w:spacing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Společnost FinGO je součástí lokální investiční skupiny InTeFi Capital podnikatele a investora Lukáše Nováka. Skupina vlastní a řídí české a slovenské společnosti z oblastí informačních technologií, financí, energetiky a real estate developmentu. Je majoritním vlastníkem energetické skupiny Electree nebo technologické společnosti BiQ Group, která vytváří komplexní a udržitelné IT projekty pro řadu významných společností na Českém a evropském trhu. Sesterská společnost FinGO.sk byla založena v roce 2017 a stala se jednou z nejrychleji rostoucích společností ve svém oboru na Slovensku. Více než 1 000 odborníků působí ve všech 79 okresech Slovenska a stará se o téměř 150 000 spokojených klientů.</w:t>
      </w:r>
    </w:p>
    <w:p w14:paraId="2DBFABE6" w14:textId="77777777" w:rsidR="00D059E3" w:rsidRDefault="00D059E3">
      <w:pPr>
        <w:spacing w:line="276" w:lineRule="auto"/>
        <w:rPr>
          <w:i/>
          <w:iCs/>
          <w:sz w:val="20"/>
          <w:szCs w:val="20"/>
        </w:rPr>
      </w:pPr>
    </w:p>
    <w:p w14:paraId="2D3256FF" w14:textId="77777777" w:rsidR="00D059E3" w:rsidRPr="0082022F" w:rsidRDefault="00D059E3" w:rsidP="00D059E3">
      <w:pPr>
        <w:spacing w:line="276" w:lineRule="auto"/>
        <w:rPr>
          <w:b/>
          <w:bCs/>
          <w:lang w:val="cs-CZ"/>
        </w:rPr>
      </w:pP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3360" behindDoc="0" locked="0" layoutInCell="1" allowOverlap="1" wp14:anchorId="119E72F2" wp14:editId="06AC5A6D">
            <wp:simplePos x="0" y="0"/>
            <wp:positionH relativeFrom="column">
              <wp:posOffset>5159375</wp:posOffset>
            </wp:positionH>
            <wp:positionV relativeFrom="paragraph">
              <wp:posOffset>208915</wp:posOffset>
            </wp:positionV>
            <wp:extent cx="596265" cy="461010"/>
            <wp:effectExtent l="0" t="0" r="0" b="0"/>
            <wp:wrapNone/>
            <wp:docPr id="759752977" name="Obrázek 2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2336" behindDoc="0" locked="0" layoutInCell="1" allowOverlap="1" wp14:anchorId="1D15B708" wp14:editId="651B608E">
            <wp:simplePos x="0" y="0"/>
            <wp:positionH relativeFrom="column">
              <wp:posOffset>4680585</wp:posOffset>
            </wp:positionH>
            <wp:positionV relativeFrom="paragraph">
              <wp:posOffset>230505</wp:posOffset>
            </wp:positionV>
            <wp:extent cx="437515" cy="437515"/>
            <wp:effectExtent l="0" t="0" r="635" b="635"/>
            <wp:wrapNone/>
            <wp:docPr id="876935683" name="Obrázek 19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1312" behindDoc="0" locked="0" layoutInCell="1" allowOverlap="1" wp14:anchorId="66541FB2" wp14:editId="4450D006">
            <wp:simplePos x="0" y="0"/>
            <wp:positionH relativeFrom="column">
              <wp:posOffset>4187190</wp:posOffset>
            </wp:positionH>
            <wp:positionV relativeFrom="paragraph">
              <wp:posOffset>208915</wp:posOffset>
            </wp:positionV>
            <wp:extent cx="461010" cy="461010"/>
            <wp:effectExtent l="0" t="0" r="0" b="0"/>
            <wp:wrapNone/>
            <wp:docPr id="526303125" name="Obrázek 18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0288" behindDoc="0" locked="0" layoutInCell="1" allowOverlap="1" wp14:anchorId="6B494048" wp14:editId="7433FCA5">
            <wp:simplePos x="0" y="0"/>
            <wp:positionH relativeFrom="column">
              <wp:posOffset>3686810</wp:posOffset>
            </wp:positionH>
            <wp:positionV relativeFrom="paragraph">
              <wp:posOffset>208915</wp:posOffset>
            </wp:positionV>
            <wp:extent cx="461010" cy="461010"/>
            <wp:effectExtent l="0" t="0" r="0" b="0"/>
            <wp:wrapNone/>
            <wp:docPr id="1008894929" name="Obrázek 17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59264" behindDoc="0" locked="0" layoutInCell="1" allowOverlap="1" wp14:anchorId="097034C4" wp14:editId="30A4E931">
            <wp:simplePos x="0" y="0"/>
            <wp:positionH relativeFrom="column">
              <wp:posOffset>3193415</wp:posOffset>
            </wp:positionH>
            <wp:positionV relativeFrom="paragraph">
              <wp:posOffset>208915</wp:posOffset>
            </wp:positionV>
            <wp:extent cx="461010" cy="461010"/>
            <wp:effectExtent l="0" t="0" r="0" b="0"/>
            <wp:wrapNone/>
            <wp:docPr id="1009042818" name="Obrázek 16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lang w:val="cs-CZ"/>
        </w:rPr>
        <w:br/>
        <w:t xml:space="preserve">    </w:t>
      </w:r>
    </w:p>
    <w:p w14:paraId="7F403034" w14:textId="77777777" w:rsidR="00D059E3" w:rsidRDefault="00D059E3">
      <w:pPr>
        <w:spacing w:line="276" w:lineRule="auto"/>
        <w:rPr>
          <w:i/>
          <w:iCs/>
          <w:sz w:val="20"/>
          <w:szCs w:val="20"/>
        </w:rPr>
      </w:pPr>
    </w:p>
    <w:p w14:paraId="5C86243D" w14:textId="77777777" w:rsidR="004D094C" w:rsidRDefault="00000000">
      <w:pPr>
        <w:spacing w:after="0"/>
        <w:rPr>
          <w:b/>
          <w:bCs/>
        </w:rPr>
      </w:pPr>
      <w:r>
        <w:rPr>
          <w:b/>
          <w:bCs/>
        </w:rPr>
        <w:t>Kontakt pro média:</w:t>
      </w:r>
    </w:p>
    <w:p w14:paraId="212920FD" w14:textId="77777777" w:rsidR="004D094C" w:rsidRDefault="00000000">
      <w:pPr>
        <w:spacing w:after="0"/>
      </w:pPr>
      <w:r>
        <w:t>Crest Communications</w:t>
      </w:r>
    </w:p>
    <w:p w14:paraId="41E341CF" w14:textId="77777777" w:rsidR="004D094C" w:rsidRDefault="00000000">
      <w:pPr>
        <w:spacing w:after="0"/>
      </w:pPr>
      <w:r>
        <w:t>Bára Wendlová</w:t>
      </w:r>
    </w:p>
    <w:p w14:paraId="46606902" w14:textId="77777777" w:rsidR="004D094C" w:rsidRDefault="004D094C">
      <w:pPr>
        <w:spacing w:after="0"/>
        <w:rPr>
          <w:rFonts w:ascii="Aptos" w:eastAsia="Aptos" w:hAnsi="Aptos" w:cs="Aptos"/>
          <w:sz w:val="24"/>
          <w:szCs w:val="24"/>
        </w:rPr>
      </w:pPr>
      <w:hyperlink r:id="rId18">
        <w:r>
          <w:rPr>
            <w:color w:val="0000FF"/>
            <w:u w:val="single"/>
          </w:rPr>
          <w:t>bara.wendlova@crestcom.cz</w:t>
        </w:r>
      </w:hyperlink>
      <w:r>
        <w:br/>
        <w:t>tel.: 737 080 665</w:t>
      </w:r>
    </w:p>
    <w:p w14:paraId="7BA93E26" w14:textId="77777777" w:rsidR="004D094C" w:rsidRDefault="00000000">
      <w:pPr>
        <w:jc w:val="right"/>
        <w:rPr>
          <w:rFonts w:ascii="Aptos" w:eastAsia="Aptos" w:hAnsi="Aptos" w:cs="Aptos"/>
          <w:sz w:val="24"/>
          <w:szCs w:val="24"/>
        </w:rPr>
      </w:pPr>
      <w:r>
        <w:br/>
        <w:t xml:space="preserve">    </w:t>
      </w:r>
    </w:p>
    <w:p w14:paraId="26C24280" w14:textId="77777777" w:rsidR="004D094C" w:rsidRDefault="004D094C">
      <w:pPr>
        <w:jc w:val="right"/>
        <w:rPr>
          <w:rFonts w:ascii="Aptos" w:eastAsia="Aptos" w:hAnsi="Aptos" w:cs="Aptos"/>
          <w:sz w:val="24"/>
          <w:szCs w:val="24"/>
        </w:rPr>
      </w:pPr>
    </w:p>
    <w:p w14:paraId="057DE45F" w14:textId="77777777" w:rsidR="004D094C" w:rsidRDefault="004D094C">
      <w:pPr>
        <w:spacing w:after="0"/>
      </w:pPr>
    </w:p>
    <w:sectPr w:rsidR="004D094C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875E5" w14:textId="77777777" w:rsidR="00907C0B" w:rsidRDefault="00907C0B">
      <w:pPr>
        <w:spacing w:after="0" w:line="240" w:lineRule="auto"/>
      </w:pPr>
      <w:r>
        <w:separator/>
      </w:r>
    </w:p>
  </w:endnote>
  <w:endnote w:type="continuationSeparator" w:id="0">
    <w:p w14:paraId="672EF7AB" w14:textId="77777777" w:rsidR="00907C0B" w:rsidRDefault="00907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34CF897-A473-4D48-822C-54E0C0291DC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F9951C28-BE96-4963-B97F-BD891DF41118}"/>
    <w:embedBold r:id="rId3" w:fontKey="{440863AF-377F-4ED3-BBB4-E9F1B888F6B0}"/>
    <w:embedItalic r:id="rId4" w:fontKey="{E447E6B9-4277-4EFC-B215-46591D1797C0}"/>
    <w:embedBoldItalic r:id="rId5" w:fontKey="{9B8BDDD7-DFDD-480F-B06E-99B9DC5CC80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5C9D92E-561D-4AE5-A534-C5CC8FE69E51}"/>
    <w:embedItalic r:id="rId7" w:fontKey="{C62ACAE5-CD81-4DDC-A722-1538378A14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E4C0E97A-F69F-41A8-B810-C835FCAB751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B4C8C23F-4137-43E4-86CB-5175A5EB079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BEB235D1-58EF-4EFD-A9F7-6DFE473515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D3DA" w14:textId="77777777" w:rsidR="004D094C" w:rsidRDefault="004D094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0"/>
      <w:tblW w:w="9060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4D094C" w14:paraId="3F76797A" w14:textId="77777777">
      <w:trPr>
        <w:trHeight w:val="300"/>
      </w:trPr>
      <w:tc>
        <w:tcPr>
          <w:tcW w:w="3020" w:type="dxa"/>
        </w:tcPr>
        <w:p w14:paraId="1E5D4BBB" w14:textId="77777777" w:rsidR="004D094C" w:rsidRDefault="004D09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  <w:tc>
        <w:tcPr>
          <w:tcW w:w="3020" w:type="dxa"/>
        </w:tcPr>
        <w:p w14:paraId="7C2F1062" w14:textId="77777777" w:rsidR="004D094C" w:rsidRDefault="004D09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  <w:tc>
        <w:tcPr>
          <w:tcW w:w="3020" w:type="dxa"/>
        </w:tcPr>
        <w:p w14:paraId="34947C6F" w14:textId="77777777" w:rsidR="004D094C" w:rsidRDefault="004D09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</w:tr>
  </w:tbl>
  <w:p w14:paraId="3F1F1E47" w14:textId="77777777" w:rsidR="004D094C" w:rsidRDefault="004D09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27EF" w14:textId="77777777" w:rsidR="00907C0B" w:rsidRDefault="00907C0B">
      <w:pPr>
        <w:spacing w:after="0" w:line="240" w:lineRule="auto"/>
      </w:pPr>
      <w:r>
        <w:separator/>
      </w:r>
    </w:p>
  </w:footnote>
  <w:footnote w:type="continuationSeparator" w:id="0">
    <w:p w14:paraId="5BD8FF32" w14:textId="77777777" w:rsidR="00907C0B" w:rsidRDefault="00907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DA25" w14:textId="77777777" w:rsidR="004D09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7FD7AAB" wp14:editId="7257A239">
          <wp:simplePos x="0" y="0"/>
          <wp:positionH relativeFrom="column">
            <wp:posOffset>4310380</wp:posOffset>
          </wp:positionH>
          <wp:positionV relativeFrom="paragraph">
            <wp:posOffset>-325752</wp:posOffset>
          </wp:positionV>
          <wp:extent cx="1895475" cy="768985"/>
          <wp:effectExtent l="0" t="0" r="0" b="0"/>
          <wp:wrapSquare wrapText="bothSides" distT="0" distB="0" distL="114300" distR="114300"/>
          <wp:docPr id="21142770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768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878782F" w14:textId="77777777" w:rsidR="004D094C" w:rsidRDefault="004D09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51CF"/>
    <w:multiLevelType w:val="multilevel"/>
    <w:tmpl w:val="75F82D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3043CC5"/>
    <w:multiLevelType w:val="multilevel"/>
    <w:tmpl w:val="1B028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4EB2276"/>
    <w:multiLevelType w:val="multilevel"/>
    <w:tmpl w:val="63983E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A6E08D3"/>
    <w:multiLevelType w:val="multilevel"/>
    <w:tmpl w:val="D7509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571305259">
    <w:abstractNumId w:val="3"/>
  </w:num>
  <w:num w:numId="2" w16cid:durableId="555580516">
    <w:abstractNumId w:val="1"/>
  </w:num>
  <w:num w:numId="3" w16cid:durableId="1173495692">
    <w:abstractNumId w:val="0"/>
  </w:num>
  <w:num w:numId="4" w16cid:durableId="902986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4C"/>
    <w:rsid w:val="002C7D8F"/>
    <w:rsid w:val="004D094C"/>
    <w:rsid w:val="00552589"/>
    <w:rsid w:val="00677CAB"/>
    <w:rsid w:val="007956F5"/>
    <w:rsid w:val="007C2873"/>
    <w:rsid w:val="00835F43"/>
    <w:rsid w:val="00907C0B"/>
    <w:rsid w:val="00930F56"/>
    <w:rsid w:val="00A85B1E"/>
    <w:rsid w:val="00B322B8"/>
    <w:rsid w:val="00B364D7"/>
    <w:rsid w:val="00B76540"/>
    <w:rsid w:val="00B838EE"/>
    <w:rsid w:val="00BA6900"/>
    <w:rsid w:val="00D059E3"/>
    <w:rsid w:val="00E1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9DE5"/>
  <w15:docId w15:val="{D0D8F492-EEC9-41B5-AA63-17D6DD33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cs" w:eastAsia="cs-CZ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Odstavecseseznamem">
    <w:name w:val="List Paragraph"/>
    <w:uiPriority w:val="34"/>
    <w:qFormat/>
    <w:rsid w:val="002D24E9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GwO0jxau7AaMq0gKUcCh7A" TargetMode="External"/><Relationship Id="rId13" Type="http://schemas.openxmlformats.org/officeDocument/2006/relationships/image" Target="media/image3.png"/><Relationship Id="rId18" Type="http://schemas.openxmlformats.org/officeDocument/2006/relationships/hyperlink" Target="mailto:bara.wendlova@crestcom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company/fingo-cz/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s://www.facebook.com/fingo.cz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x.com/fingoc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instagram.com/fingo.cz/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qtvH35cLuK+NStGNqe/vShtL6w==">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761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Bára Wendlová</dc:creator>
  <cp:lastModifiedBy>Bára Wendlová | CrestCommunications a.s.</cp:lastModifiedBy>
  <cp:revision>6</cp:revision>
  <dcterms:created xsi:type="dcterms:W3CDTF">2026-09-01T09:58:00Z</dcterms:created>
  <dcterms:modified xsi:type="dcterms:W3CDTF">2026-09-09T07:57:00Z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>MediaServiceImageTags</vt:lpwstr>
  </property>
</Properties>
</file>